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1B4" w:rsidRPr="00CD63C8" w:rsidRDefault="00BB71B4" w:rsidP="00BB71B4">
      <w:pPr>
        <w:keepLines/>
        <w:tabs>
          <w:tab w:val="right" w:pos="10440"/>
          <w:tab w:val="right" w:pos="13323"/>
        </w:tabs>
        <w:autoSpaceDE/>
        <w:autoSpaceDN/>
        <w:adjustRightInd/>
        <w:spacing w:after="0"/>
        <w:rPr>
          <w:rFonts w:ascii="Arial" w:hAnsi="Arial" w:cs="Arial"/>
          <w:b/>
          <w:sz w:val="24"/>
          <w:szCs w:val="24"/>
          <w:lang w:eastAsia="zh-CN"/>
        </w:rPr>
      </w:pPr>
      <w:r w:rsidRPr="00CD63C8">
        <w:rPr>
          <w:rFonts w:ascii="Arial" w:eastAsia="MS Mincho" w:hAnsi="Arial" w:cs="Arial"/>
          <w:b/>
          <w:sz w:val="24"/>
          <w:szCs w:val="24"/>
        </w:rPr>
        <w:t>3GPP TSG-RAN WG4 Meeting #</w:t>
      </w:r>
      <w:r w:rsidRPr="00CD63C8">
        <w:rPr>
          <w:rFonts w:eastAsia="MS Mincho"/>
        </w:rPr>
        <w:t xml:space="preserve"> </w:t>
      </w:r>
      <w:r w:rsidRPr="00CD63C8">
        <w:rPr>
          <w:rFonts w:ascii="Arial" w:eastAsia="MS Mincho" w:hAnsi="Arial" w:cs="Arial"/>
          <w:b/>
          <w:sz w:val="24"/>
          <w:szCs w:val="24"/>
        </w:rPr>
        <w:t>99-e</w:t>
      </w:r>
      <w:r w:rsidRPr="00CD63C8">
        <w:rPr>
          <w:rFonts w:ascii="Arial" w:eastAsia="MS Mincho" w:hAnsi="Arial" w:cs="Arial"/>
          <w:b/>
          <w:sz w:val="24"/>
          <w:szCs w:val="24"/>
        </w:rPr>
        <w:tab/>
      </w:r>
      <w:r w:rsidR="00233B9E" w:rsidRPr="00233B9E">
        <w:rPr>
          <w:rFonts w:ascii="Arial" w:eastAsia="MS Mincho" w:hAnsi="Arial" w:cs="Arial"/>
          <w:b/>
          <w:sz w:val="24"/>
          <w:szCs w:val="24"/>
        </w:rPr>
        <w:t>R4-2110657</w:t>
      </w:r>
    </w:p>
    <w:p w:rsidR="00BB71B4" w:rsidRPr="00CD63C8" w:rsidRDefault="00BB71B4" w:rsidP="00BB71B4">
      <w:pPr>
        <w:tabs>
          <w:tab w:val="right" w:pos="9781"/>
          <w:tab w:val="right" w:pos="13323"/>
        </w:tabs>
        <w:autoSpaceDE/>
        <w:autoSpaceDN/>
        <w:adjustRightInd/>
        <w:spacing w:after="0"/>
        <w:outlineLvl w:val="0"/>
        <w:rPr>
          <w:rFonts w:ascii="Arial" w:hAnsi="Arial"/>
          <w:b/>
          <w:sz w:val="24"/>
          <w:szCs w:val="24"/>
          <w:lang w:eastAsia="zh-CN"/>
        </w:rPr>
      </w:pPr>
      <w:r w:rsidRPr="00CD63C8">
        <w:rPr>
          <w:rFonts w:ascii="Arial" w:hAnsi="Arial"/>
          <w:b/>
          <w:sz w:val="24"/>
          <w:szCs w:val="24"/>
          <w:lang w:eastAsia="zh-CN"/>
        </w:rPr>
        <w:t>Electronic Meeting, May. 19-27, 2021</w:t>
      </w:r>
    </w:p>
    <w:p w:rsidR="00237FCA" w:rsidRPr="009D3032" w:rsidRDefault="00237FCA" w:rsidP="00563F22">
      <w:pPr>
        <w:ind w:left="1985" w:hanging="1985"/>
        <w:rPr>
          <w:rFonts w:ascii="Arial" w:hAnsi="Arial"/>
          <w:b/>
          <w:noProof/>
          <w:sz w:val="24"/>
          <w:szCs w:val="20"/>
          <w:lang w:eastAsia="zh-CN"/>
        </w:rPr>
      </w:pPr>
    </w:p>
    <w:p w:rsidR="00563F22" w:rsidRPr="00023C30" w:rsidRDefault="00563F22" w:rsidP="00563F22">
      <w:pPr>
        <w:ind w:left="1985" w:hanging="1985"/>
        <w:rPr>
          <w:rFonts w:ascii="Arial" w:hAnsi="Arial" w:cs="Arial"/>
        </w:rPr>
      </w:pPr>
      <w:r w:rsidRPr="00790524">
        <w:rPr>
          <w:rFonts w:ascii="Arial" w:hAnsi="Arial" w:cs="Arial"/>
          <w:b/>
        </w:rPr>
        <w:t xml:space="preserve">Source: </w:t>
      </w:r>
      <w:r w:rsidRPr="00790524">
        <w:rPr>
          <w:rFonts w:ascii="Arial" w:hAnsi="Arial" w:cs="Arial"/>
          <w:b/>
        </w:rPr>
        <w:tab/>
      </w:r>
      <w:r w:rsidR="0022484B" w:rsidRPr="00023C30">
        <w:rPr>
          <w:rFonts w:ascii="Arial" w:hAnsi="Arial" w:cs="Arial"/>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BB71B4" w:rsidRPr="00023C30">
        <w:rPr>
          <w:rFonts w:ascii="Arial" w:hAnsi="Arial" w:cs="Arial"/>
        </w:rPr>
        <w:t>On asymmetric Uplink /Downlink scenarios</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233B9E">
        <w:rPr>
          <w:rFonts w:ascii="Arial" w:hAnsi="Arial" w:cs="Arial"/>
        </w:rPr>
        <w:t>8.28.2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66180D" w:rsidRPr="00023C30">
        <w:rPr>
          <w:rFonts w:ascii="Arial" w:hAnsi="Arial" w:cs="Arial"/>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023C30" w:rsidRPr="00023C30" w:rsidRDefault="00023C30" w:rsidP="00023C30">
      <w:pPr>
        <w:rPr>
          <w:lang w:eastAsia="zh-CN"/>
        </w:rPr>
      </w:pPr>
      <w:r>
        <w:rPr>
          <w:lang w:eastAsia="zh-CN"/>
        </w:rPr>
        <w:t>O</w:t>
      </w:r>
      <w:r w:rsidRPr="00023C30">
        <w:rPr>
          <w:lang w:eastAsia="zh-CN"/>
        </w:rPr>
        <w:t>n UE REFSENS for 35 MHz and 45 MHz</w:t>
      </w:r>
      <w:r>
        <w:rPr>
          <w:lang w:eastAsia="zh-CN"/>
        </w:rPr>
        <w:t xml:space="preserve">, one remaining issue is to define the asymmetric </w:t>
      </w:r>
      <w:r w:rsidRPr="00023C30">
        <w:rPr>
          <w:lang w:eastAsia="zh-CN"/>
        </w:rPr>
        <w:t>Uplink /Downlink scenarios</w:t>
      </w:r>
      <w:r>
        <w:rPr>
          <w:lang w:eastAsia="zh-CN"/>
        </w:rPr>
        <w:t>. In this contribution we provide some consideration on the open issue.</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bookmarkStart w:id="0" w:name="_GoBack"/>
      <w:bookmarkEnd w:id="0"/>
    </w:p>
    <w:p w:rsidR="00814E03" w:rsidRDefault="00D44812" w:rsidP="003D4A9C">
      <w:pPr>
        <w:rPr>
          <w:lang w:eastAsia="zh-CN"/>
        </w:rPr>
      </w:pPr>
      <w:r>
        <w:rPr>
          <w:lang w:eastAsia="zh-CN"/>
        </w:rPr>
        <w:t xml:space="preserve">Per way forward on </w:t>
      </w:r>
      <w:r w:rsidR="00023C30" w:rsidRPr="00023C30">
        <w:rPr>
          <w:lang w:eastAsia="zh-CN"/>
        </w:rPr>
        <w:t xml:space="preserve">UE REFSENS for 35 MHz and 45 MHz </w:t>
      </w:r>
      <w:r w:rsidR="00023C30">
        <w:rPr>
          <w:lang w:eastAsia="zh-CN"/>
        </w:rPr>
        <w:t>[1</w:t>
      </w:r>
      <w:r>
        <w:rPr>
          <w:lang w:eastAsia="zh-CN"/>
        </w:rPr>
        <w:t>],</w:t>
      </w:r>
      <w:r w:rsidR="00023C30">
        <w:rPr>
          <w:lang w:eastAsia="zh-CN"/>
        </w:rPr>
        <w:t xml:space="preserve"> the asymmetric uplink/downlink scenarios is to be further investigated,</w:t>
      </w:r>
    </w:p>
    <w:p w:rsidR="007A1599" w:rsidRPr="00023C30" w:rsidRDefault="00B929F4" w:rsidP="00023C30">
      <w:pPr>
        <w:numPr>
          <w:ilvl w:val="0"/>
          <w:numId w:val="9"/>
        </w:numPr>
        <w:rPr>
          <w:lang w:eastAsia="zh-CN"/>
        </w:rPr>
      </w:pPr>
      <w:r w:rsidRPr="00023C30">
        <w:rPr>
          <w:lang w:eastAsia="zh-CN"/>
        </w:rPr>
        <w:t>For asymmetric  Uplink /Downlink scenarios</w:t>
      </w:r>
    </w:p>
    <w:p w:rsidR="007A1599" w:rsidRPr="00023C30" w:rsidRDefault="00B929F4" w:rsidP="00023C30">
      <w:pPr>
        <w:numPr>
          <w:ilvl w:val="1"/>
          <w:numId w:val="9"/>
        </w:numPr>
        <w:rPr>
          <w:lang w:eastAsia="zh-CN"/>
        </w:rPr>
      </w:pPr>
      <w:r w:rsidRPr="00023C30">
        <w:rPr>
          <w:lang w:eastAsia="zh-CN"/>
        </w:rPr>
        <w:t>Option 1</w:t>
      </w:r>
    </w:p>
    <w:p w:rsidR="007A1599" w:rsidRPr="00023C30" w:rsidRDefault="00B929F4" w:rsidP="00023C30">
      <w:pPr>
        <w:numPr>
          <w:ilvl w:val="2"/>
          <w:numId w:val="9"/>
        </w:numPr>
        <w:rPr>
          <w:lang w:eastAsia="zh-CN"/>
        </w:rPr>
      </w:pPr>
      <w:r w:rsidRPr="00023C30">
        <w:rPr>
          <w:lang w:eastAsia="zh-CN"/>
        </w:rPr>
        <w:t>To add a new entry in  "Table 5.3.6-1: FDD asymmetric UL and DL channel bandwidth combinations" for bands n8, n25 and n71.</w:t>
      </w:r>
    </w:p>
    <w:p w:rsidR="007A1599" w:rsidRPr="00023C30" w:rsidRDefault="00B929F4" w:rsidP="00023C30">
      <w:pPr>
        <w:numPr>
          <w:ilvl w:val="2"/>
          <w:numId w:val="9"/>
        </w:numPr>
        <w:rPr>
          <w:lang w:eastAsia="zh-CN"/>
        </w:rPr>
      </w:pPr>
      <w:r w:rsidRPr="00023C30">
        <w:rPr>
          <w:lang w:eastAsia="zh-CN"/>
        </w:rPr>
        <w:t>The impact of each UL-DL scenario on the default Tx-Rx frequency separation.</w:t>
      </w:r>
    </w:p>
    <w:p w:rsidR="007A1599" w:rsidRPr="00023C30" w:rsidRDefault="00B929F4" w:rsidP="00023C30">
      <w:pPr>
        <w:numPr>
          <w:ilvl w:val="1"/>
          <w:numId w:val="9"/>
        </w:numPr>
        <w:rPr>
          <w:lang w:eastAsia="zh-CN"/>
        </w:rPr>
      </w:pPr>
      <w:r w:rsidRPr="00023C30">
        <w:rPr>
          <w:lang w:eastAsia="zh-CN"/>
        </w:rPr>
        <w:t>Option 2</w:t>
      </w:r>
    </w:p>
    <w:p w:rsidR="007A1599" w:rsidRPr="00023C30" w:rsidRDefault="00B929F4" w:rsidP="00023C30">
      <w:pPr>
        <w:numPr>
          <w:ilvl w:val="2"/>
          <w:numId w:val="9"/>
        </w:numPr>
        <w:rPr>
          <w:lang w:eastAsia="zh-CN"/>
        </w:rPr>
      </w:pPr>
      <w:r w:rsidRPr="00023C30">
        <w:rPr>
          <w:lang w:eastAsia="zh-CN"/>
        </w:rPr>
        <w:t>To state that the REFSENS requirement is met for a specific duplex spacing in the general REFSENS section</w:t>
      </w:r>
    </w:p>
    <w:p w:rsidR="007A1599" w:rsidRPr="00023C30" w:rsidRDefault="00B929F4" w:rsidP="00023C30">
      <w:pPr>
        <w:numPr>
          <w:ilvl w:val="1"/>
          <w:numId w:val="9"/>
        </w:numPr>
        <w:rPr>
          <w:lang w:eastAsia="zh-CN"/>
        </w:rPr>
      </w:pPr>
      <w:r w:rsidRPr="00023C30">
        <w:rPr>
          <w:lang w:eastAsia="zh-CN"/>
        </w:rPr>
        <w:t>Other options are not excluded</w:t>
      </w:r>
    </w:p>
    <w:p w:rsidR="00023C30" w:rsidRDefault="00AE5E8A" w:rsidP="003D4A9C">
      <w:pPr>
        <w:rPr>
          <w:lang w:eastAsia="zh-CN"/>
        </w:rPr>
      </w:pPr>
      <w:r>
        <w:rPr>
          <w:lang w:eastAsia="zh-CN"/>
        </w:rPr>
        <w:t>In existing 38.101-1, FDD asymmetric UL and DL channel bandwidth combinations are defined for the band which has asymmetric UL and DL spectrum, e.g. n70.</w:t>
      </w:r>
      <w:r w:rsidR="00F95786">
        <w:rPr>
          <w:lang w:eastAsia="zh-CN"/>
        </w:rPr>
        <w:t xml:space="preserve"> And the Tx-Rx separation is defined as a deviation to the default center frequency separation. Hence option 1 may have 2 issues. One is the impact to Tx-Rx separation and the other is the supported channel bandwidths should be </w:t>
      </w:r>
      <w:r w:rsidR="0001342A">
        <w:rPr>
          <w:lang w:eastAsia="zh-CN"/>
        </w:rPr>
        <w:t xml:space="preserve">explicitly defined. Hence our preference is option2. </w:t>
      </w:r>
    </w:p>
    <w:p w:rsidR="0001342A" w:rsidRDefault="0001342A" w:rsidP="003D4A9C">
      <w:pPr>
        <w:rPr>
          <w:lang w:eastAsia="zh-CN"/>
        </w:rPr>
      </w:pPr>
      <w:r w:rsidRPr="00A84616">
        <w:rPr>
          <w:b/>
          <w:lang w:eastAsia="zh-CN"/>
        </w:rPr>
        <w:t xml:space="preserve">Proposal 1: </w:t>
      </w:r>
      <w:r w:rsidR="00A84616">
        <w:rPr>
          <w:lang w:eastAsia="zh-CN"/>
        </w:rPr>
        <w:t>T</w:t>
      </w:r>
      <w:r>
        <w:rPr>
          <w:lang w:eastAsia="zh-CN"/>
        </w:rPr>
        <w:t>he following note is added for the REFSENS for band n8/n71 35MHz, and n2/n25 45MHz</w:t>
      </w:r>
    </w:p>
    <w:p w:rsidR="0001342A" w:rsidRDefault="0001342A" w:rsidP="003D4A9C">
      <w:r>
        <w:rPr>
          <w:lang w:eastAsia="zh-CN"/>
        </w:rPr>
        <w:t xml:space="preserve">NOTE: </w:t>
      </w:r>
      <w:r w:rsidR="00A84616">
        <w:rPr>
          <w:lang w:eastAsia="zh-CN"/>
        </w:rPr>
        <w:t xml:space="preserve">the requirement is met for a default </w:t>
      </w:r>
      <w:r w:rsidR="00A84616" w:rsidRPr="00A84616">
        <w:rPr>
          <w:lang w:eastAsia="zh-CN"/>
        </w:rPr>
        <w:t>TX–RX frequency separation</w:t>
      </w:r>
      <w:r w:rsidR="00A84616">
        <w:rPr>
          <w:lang w:eastAsia="zh-CN"/>
        </w:rPr>
        <w:t xml:space="preserve"> </w:t>
      </w:r>
      <w:r w:rsidR="00A84616">
        <w:t>specified in Table 5.4.4-1.</w:t>
      </w:r>
    </w:p>
    <w:p w:rsidR="00A84616" w:rsidRDefault="00A84616" w:rsidP="003D4A9C">
      <w:pPr>
        <w:rPr>
          <w:b/>
          <w:lang w:eastAsia="zh-CN"/>
        </w:rPr>
      </w:pPr>
    </w:p>
    <w:p w:rsidR="00A84616" w:rsidRDefault="00A84616" w:rsidP="003D4A9C">
      <w:r w:rsidRPr="00A84616">
        <w:rPr>
          <w:b/>
          <w:lang w:eastAsia="zh-CN"/>
        </w:rPr>
        <w:t xml:space="preserve">Proposal </w:t>
      </w:r>
      <w:r>
        <w:rPr>
          <w:b/>
          <w:lang w:eastAsia="zh-CN"/>
        </w:rPr>
        <w:t>2</w:t>
      </w:r>
      <w:r w:rsidRPr="00A84616">
        <w:rPr>
          <w:b/>
          <w:lang w:eastAsia="zh-CN"/>
        </w:rPr>
        <w:t>:</w:t>
      </w:r>
      <w:r>
        <w:rPr>
          <w:b/>
          <w:lang w:eastAsia="zh-CN"/>
        </w:rPr>
        <w:t xml:space="preserve"> </w:t>
      </w:r>
      <w:r>
        <w:t xml:space="preserve">The widest channel bandwidth is applicable only to downlink should be clarified in Table </w:t>
      </w:r>
      <w:r>
        <w:rPr>
          <w:rFonts w:eastAsia="Yu Mincho"/>
        </w:rPr>
        <w:t>Table 5.3.5-1 with NOTE3</w:t>
      </w:r>
      <w:r>
        <w:t>.</w:t>
      </w:r>
    </w:p>
    <w:p w:rsidR="00A84616" w:rsidRDefault="00A84616" w:rsidP="00A84616">
      <w:pPr>
        <w:pStyle w:val="TAN"/>
        <w:rPr>
          <w:rFonts w:eastAsia="Yu Mincho"/>
          <w:lang w:eastAsia="en-US"/>
        </w:rPr>
      </w:pPr>
      <w:r>
        <w:rPr>
          <w:rFonts w:eastAsia="Yu Mincho"/>
        </w:rPr>
        <w:t>NOTE 3:</w:t>
      </w:r>
      <w:r>
        <w:rPr>
          <w:rFonts w:eastAsia="Yu Mincho"/>
        </w:rPr>
        <w:tab/>
        <w:t>This UE channel bandwidth is applicable only to downlink.</w:t>
      </w:r>
    </w:p>
    <w:p w:rsidR="00A84616" w:rsidRPr="00A84616" w:rsidRDefault="00A84616" w:rsidP="003D4A9C">
      <w:pPr>
        <w:rPr>
          <w:lang w:val="en-GB" w:eastAsia="zh-CN"/>
        </w:rPr>
      </w:pP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FD5A1B" w:rsidRDefault="00523B83" w:rsidP="00FD5A1B">
      <w:pPr>
        <w:rPr>
          <w:lang w:eastAsia="zh-CN"/>
        </w:rPr>
      </w:pPr>
      <w:r>
        <w:rPr>
          <w:rFonts w:hint="eastAsia"/>
          <w:lang w:eastAsia="zh-CN"/>
        </w:rPr>
        <w:t>I</w:t>
      </w:r>
      <w:r>
        <w:rPr>
          <w:lang w:eastAsia="zh-CN"/>
        </w:rPr>
        <w:t>n the contribution, we provide discussion on</w:t>
      </w:r>
      <w:r w:rsidR="00A84616" w:rsidRPr="00A84616">
        <w:rPr>
          <w:lang w:eastAsia="zh-CN"/>
        </w:rPr>
        <w:t xml:space="preserve"> asymmetric Uplink /Downlink scenarios</w:t>
      </w:r>
      <w:r w:rsidR="00D11B7D">
        <w:rPr>
          <w:lang w:eastAsia="zh-CN"/>
        </w:rPr>
        <w:t>.</w:t>
      </w:r>
    </w:p>
    <w:p w:rsidR="00A84616" w:rsidRDefault="00A84616" w:rsidP="00A84616">
      <w:pPr>
        <w:rPr>
          <w:lang w:eastAsia="zh-CN"/>
        </w:rPr>
      </w:pPr>
      <w:r w:rsidRPr="00A84616">
        <w:rPr>
          <w:b/>
          <w:lang w:eastAsia="zh-CN"/>
        </w:rPr>
        <w:t xml:space="preserve">Proposal 1: </w:t>
      </w:r>
      <w:r>
        <w:rPr>
          <w:lang w:eastAsia="zh-CN"/>
        </w:rPr>
        <w:t>The following note is added for the REFSENS for band n8/n71 35MHz, and n2/n25 45MHz</w:t>
      </w:r>
    </w:p>
    <w:p w:rsidR="00A84616" w:rsidRDefault="00A84616" w:rsidP="00A84616">
      <w:r>
        <w:rPr>
          <w:lang w:eastAsia="zh-CN"/>
        </w:rPr>
        <w:t xml:space="preserve">NOTE: the requirement is met for a default </w:t>
      </w:r>
      <w:r w:rsidRPr="00A84616">
        <w:rPr>
          <w:lang w:eastAsia="zh-CN"/>
        </w:rPr>
        <w:t>TX–RX frequency separation</w:t>
      </w:r>
      <w:r>
        <w:rPr>
          <w:lang w:eastAsia="zh-CN"/>
        </w:rPr>
        <w:t xml:space="preserve"> </w:t>
      </w:r>
      <w:r>
        <w:t>specified in Table 5.4.4-1.</w:t>
      </w:r>
    </w:p>
    <w:p w:rsidR="00A84616" w:rsidRDefault="00A84616" w:rsidP="00A84616">
      <w:pPr>
        <w:rPr>
          <w:b/>
          <w:lang w:eastAsia="zh-CN"/>
        </w:rPr>
      </w:pPr>
    </w:p>
    <w:p w:rsidR="00A84616" w:rsidRDefault="00A84616" w:rsidP="00A84616">
      <w:r w:rsidRPr="00A84616">
        <w:rPr>
          <w:b/>
          <w:lang w:eastAsia="zh-CN"/>
        </w:rPr>
        <w:t xml:space="preserve">Proposal </w:t>
      </w:r>
      <w:r>
        <w:rPr>
          <w:b/>
          <w:lang w:eastAsia="zh-CN"/>
        </w:rPr>
        <w:t>2</w:t>
      </w:r>
      <w:r w:rsidRPr="00A84616">
        <w:rPr>
          <w:b/>
          <w:lang w:eastAsia="zh-CN"/>
        </w:rPr>
        <w:t>:</w:t>
      </w:r>
      <w:r>
        <w:rPr>
          <w:b/>
          <w:lang w:eastAsia="zh-CN"/>
        </w:rPr>
        <w:t xml:space="preserve"> </w:t>
      </w:r>
      <w:r>
        <w:t xml:space="preserve">The widest channel bandwidth is applicable only to downlink should be clarified in Table </w:t>
      </w:r>
      <w:r>
        <w:rPr>
          <w:rFonts w:eastAsia="Yu Mincho"/>
        </w:rPr>
        <w:t>Table 5.3.5-1 with NOTE3</w:t>
      </w:r>
      <w:r>
        <w:t>.</w:t>
      </w:r>
    </w:p>
    <w:p w:rsidR="00A84616" w:rsidRDefault="00A84616" w:rsidP="00A84616">
      <w:pPr>
        <w:pStyle w:val="TAN"/>
        <w:rPr>
          <w:rFonts w:eastAsia="Yu Mincho"/>
          <w:lang w:eastAsia="en-US"/>
        </w:rPr>
      </w:pPr>
      <w:r>
        <w:rPr>
          <w:rFonts w:eastAsia="Yu Mincho"/>
        </w:rPr>
        <w:t>NOTE 3:</w:t>
      </w:r>
      <w:r>
        <w:rPr>
          <w:rFonts w:eastAsia="Yu Mincho"/>
        </w:rPr>
        <w:tab/>
        <w:t>This UE channel bandwidth is applicable only to downlink.</w:t>
      </w:r>
    </w:p>
    <w:p w:rsidR="00A84616" w:rsidRPr="00A84616" w:rsidRDefault="00A84616" w:rsidP="00FD5A1B">
      <w:pPr>
        <w:rPr>
          <w:lang w:val="en-GB"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023C30" w:rsidRPr="00023C30" w:rsidRDefault="00023C30" w:rsidP="00023C30">
      <w:pPr>
        <w:pStyle w:val="References"/>
      </w:pPr>
      <w:r w:rsidRPr="00023C30">
        <w:rPr>
          <w:lang w:val="en-GB" w:eastAsia="zh-CN"/>
        </w:rPr>
        <w:t>R4-2105364</w:t>
      </w:r>
      <w:r w:rsidR="0025622A">
        <w:rPr>
          <w:rFonts w:hint="eastAsia"/>
          <w:lang w:eastAsia="zh-CN"/>
        </w:rPr>
        <w:t>,</w:t>
      </w:r>
      <w:r w:rsidR="0025622A">
        <w:rPr>
          <w:lang w:eastAsia="zh-CN"/>
        </w:rPr>
        <w:t xml:space="preserve"> </w:t>
      </w:r>
      <w:r w:rsidRPr="00023C30">
        <w:rPr>
          <w:lang w:eastAsia="zh-CN"/>
        </w:rPr>
        <w:t>WF on UE REFSENS for 35 MHz and 45 MHz</w:t>
      </w:r>
      <w:r>
        <w:rPr>
          <w:lang w:eastAsia="zh-CN"/>
        </w:rPr>
        <w:t xml:space="preserve">, </w:t>
      </w:r>
      <w:r w:rsidR="00C00181" w:rsidRPr="00C00181">
        <w:rPr>
          <w:lang w:eastAsia="zh-CN"/>
        </w:rPr>
        <w:t xml:space="preserve"> </w:t>
      </w:r>
      <w:r w:rsidRPr="00023C30">
        <w:t>Huawei, HiSilicon</w:t>
      </w:r>
    </w:p>
    <w:p w:rsidR="00924FAF" w:rsidRDefault="00924FAF" w:rsidP="00023C30">
      <w:pPr>
        <w:pStyle w:val="References"/>
        <w:numPr>
          <w:ilvl w:val="0"/>
          <w:numId w:val="0"/>
        </w:numPr>
        <w:rPr>
          <w:lang w:eastAsia="zh-CN"/>
        </w:rPr>
      </w:pPr>
    </w:p>
    <w:p w:rsidR="00E407EA" w:rsidRPr="000D06D3" w:rsidRDefault="00E407EA" w:rsidP="00612E55">
      <w:pPr>
        <w:pStyle w:val="References"/>
        <w:numPr>
          <w:ilvl w:val="0"/>
          <w:numId w:val="0"/>
        </w:numPr>
        <w:ind w:left="360"/>
        <w:rPr>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6FE" w:rsidRDefault="00D226FE">
      <w:r>
        <w:separator/>
      </w:r>
    </w:p>
  </w:endnote>
  <w:endnote w:type="continuationSeparator" w:id="0">
    <w:p w:rsidR="00D226FE" w:rsidRDefault="00D2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6FE" w:rsidRDefault="00D226FE">
      <w:r>
        <w:separator/>
      </w:r>
    </w:p>
  </w:footnote>
  <w:footnote w:type="continuationSeparator" w:id="0">
    <w:p w:rsidR="00D226FE" w:rsidRDefault="00D22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6"/>
  </w:num>
  <w:num w:numId="5">
    <w:abstractNumId w:val="8"/>
  </w:num>
  <w:num w:numId="6">
    <w:abstractNumId w:val="1"/>
  </w:num>
  <w:num w:numId="7">
    <w:abstractNumId w:val="7"/>
  </w:num>
  <w:num w:numId="8">
    <w:abstractNumId w:val="5"/>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342A"/>
    <w:rsid w:val="0001538E"/>
    <w:rsid w:val="00015EFB"/>
    <w:rsid w:val="000165E2"/>
    <w:rsid w:val="00016FEA"/>
    <w:rsid w:val="000172BE"/>
    <w:rsid w:val="00017D8A"/>
    <w:rsid w:val="00023388"/>
    <w:rsid w:val="00023425"/>
    <w:rsid w:val="000238CC"/>
    <w:rsid w:val="00023C30"/>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3B9E"/>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599"/>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4442"/>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616"/>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8A"/>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29F4"/>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B71B4"/>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26FE"/>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786"/>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0505510">
      <w:bodyDiv w:val="1"/>
      <w:marLeft w:val="0"/>
      <w:marRight w:val="0"/>
      <w:marTop w:val="0"/>
      <w:marBottom w:val="0"/>
      <w:divBdr>
        <w:top w:val="none" w:sz="0" w:space="0" w:color="auto"/>
        <w:left w:val="none" w:sz="0" w:space="0" w:color="auto"/>
        <w:bottom w:val="none" w:sz="0" w:space="0" w:color="auto"/>
        <w:right w:val="none" w:sz="0" w:space="0" w:color="auto"/>
      </w:divBdr>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0304">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56411151">
      <w:bodyDiv w:val="1"/>
      <w:marLeft w:val="0"/>
      <w:marRight w:val="0"/>
      <w:marTop w:val="0"/>
      <w:marBottom w:val="0"/>
      <w:divBdr>
        <w:top w:val="none" w:sz="0" w:space="0" w:color="auto"/>
        <w:left w:val="none" w:sz="0" w:space="0" w:color="auto"/>
        <w:bottom w:val="none" w:sz="0" w:space="0" w:color="auto"/>
        <w:right w:val="none" w:sz="0" w:space="0" w:color="auto"/>
      </w:divBdr>
      <w:divsChild>
        <w:div w:id="1324504561">
          <w:marLeft w:val="360"/>
          <w:marRight w:val="0"/>
          <w:marTop w:val="200"/>
          <w:marBottom w:val="0"/>
          <w:divBdr>
            <w:top w:val="none" w:sz="0" w:space="0" w:color="auto"/>
            <w:left w:val="none" w:sz="0" w:space="0" w:color="auto"/>
            <w:bottom w:val="none" w:sz="0" w:space="0" w:color="auto"/>
            <w:right w:val="none" w:sz="0" w:space="0" w:color="auto"/>
          </w:divBdr>
        </w:div>
        <w:div w:id="1588997231">
          <w:marLeft w:val="1080"/>
          <w:marRight w:val="0"/>
          <w:marTop w:val="100"/>
          <w:marBottom w:val="0"/>
          <w:divBdr>
            <w:top w:val="none" w:sz="0" w:space="0" w:color="auto"/>
            <w:left w:val="none" w:sz="0" w:space="0" w:color="auto"/>
            <w:bottom w:val="none" w:sz="0" w:space="0" w:color="auto"/>
            <w:right w:val="none" w:sz="0" w:space="0" w:color="auto"/>
          </w:divBdr>
        </w:div>
        <w:div w:id="24212708">
          <w:marLeft w:val="1800"/>
          <w:marRight w:val="0"/>
          <w:marTop w:val="100"/>
          <w:marBottom w:val="0"/>
          <w:divBdr>
            <w:top w:val="none" w:sz="0" w:space="0" w:color="auto"/>
            <w:left w:val="none" w:sz="0" w:space="0" w:color="auto"/>
            <w:bottom w:val="none" w:sz="0" w:space="0" w:color="auto"/>
            <w:right w:val="none" w:sz="0" w:space="0" w:color="auto"/>
          </w:divBdr>
        </w:div>
        <w:div w:id="866530556">
          <w:marLeft w:val="1800"/>
          <w:marRight w:val="0"/>
          <w:marTop w:val="100"/>
          <w:marBottom w:val="0"/>
          <w:divBdr>
            <w:top w:val="none" w:sz="0" w:space="0" w:color="auto"/>
            <w:left w:val="none" w:sz="0" w:space="0" w:color="auto"/>
            <w:bottom w:val="none" w:sz="0" w:space="0" w:color="auto"/>
            <w:right w:val="none" w:sz="0" w:space="0" w:color="auto"/>
          </w:divBdr>
        </w:div>
        <w:div w:id="114956640">
          <w:marLeft w:val="1080"/>
          <w:marRight w:val="0"/>
          <w:marTop w:val="100"/>
          <w:marBottom w:val="0"/>
          <w:divBdr>
            <w:top w:val="none" w:sz="0" w:space="0" w:color="auto"/>
            <w:left w:val="none" w:sz="0" w:space="0" w:color="auto"/>
            <w:bottom w:val="none" w:sz="0" w:space="0" w:color="auto"/>
            <w:right w:val="none" w:sz="0" w:space="0" w:color="auto"/>
          </w:divBdr>
        </w:div>
        <w:div w:id="2144157673">
          <w:marLeft w:val="1800"/>
          <w:marRight w:val="0"/>
          <w:marTop w:val="100"/>
          <w:marBottom w:val="0"/>
          <w:divBdr>
            <w:top w:val="none" w:sz="0" w:space="0" w:color="auto"/>
            <w:left w:val="none" w:sz="0" w:space="0" w:color="auto"/>
            <w:bottom w:val="none" w:sz="0" w:space="0" w:color="auto"/>
            <w:right w:val="none" w:sz="0" w:space="0" w:color="auto"/>
          </w:divBdr>
        </w:div>
        <w:div w:id="2060280891">
          <w:marLeft w:val="1080"/>
          <w:marRight w:val="0"/>
          <w:marTop w:val="100"/>
          <w:marBottom w:val="0"/>
          <w:divBdr>
            <w:top w:val="none" w:sz="0" w:space="0" w:color="auto"/>
            <w:left w:val="none" w:sz="0" w:space="0" w:color="auto"/>
            <w:bottom w:val="none" w:sz="0" w:space="0" w:color="auto"/>
            <w:right w:val="none" w:sz="0" w:space="0" w:color="auto"/>
          </w:divBdr>
        </w:div>
      </w:divsChild>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B70A48-6238-4003-A1A3-0901D0FE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10</cp:revision>
  <cp:lastPrinted>2007-06-18T22:08:00Z</cp:lastPrinted>
  <dcterms:created xsi:type="dcterms:W3CDTF">2021-05-10T07:37:00Z</dcterms:created>
  <dcterms:modified xsi:type="dcterms:W3CDTF">2021-05-11T13:39:00Z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(3)RgNvibE/+a+pLJun6KE0QT/JG0gySDEhPKWmwenRDQrhlDGLl1YEmNws//1X7pf9NEyRzr3n
veUEtUo1UjeBzbnz4qPV6hNY4hnbTBbTkM5RYeNQlXzcHHCesDZHfPEb5IZifOB8XFDYYHvD
n2RixMcrCetXZ4TItLN0dynQZ+aeuFGTPRwcN1i9A6OX3lvtvMiQ5jJ4r9zNJGhJhVX0EyMG
GG4KSwU9x8jpe0k/gE</vt:lpwstr>
  </property>
  <property fmtid="{D5CDD505-2E9C-101B-9397-08002B2CF9AE}" pid="13" name="_2015_ms_pID_725343_00">
    <vt:lpwstr>_2015_ms_pID_725343</vt:lpwstr>
  </property>
  <property fmtid="{D5CDD505-2E9C-101B-9397-08002B2CF9AE}" pid="14" name="_2015_ms_pID_7253431">
    <vt:lpwstr>b44fx1uTGAQiv0lfeSWBTVfmrRVnARxXONO6nk5ycpGJPFohmk2vYp
4oG7mRB77KB6bORPJm0iVAhmTsLpwkzys4iIjx9OUcmCu28OXm/GQQf2ZVwRNn4ABPVg9Qd4
ijRRw7zP7/Wov1ALA71LEWxFROQqrjPT1FkyYyptOGVzlM707MR3ny/x4VNuUQ4qpk0c1rts
ME0DMAGpjIQQSEUJLkHlWGtybWO/DQvJfbfI</vt:lpwstr>
  </property>
  <property fmtid="{D5CDD505-2E9C-101B-9397-08002B2CF9AE}" pid="15" name="_2015_ms_pID_7253431_00">
    <vt:lpwstr>_2015_ms_pID_7253431</vt:lpwstr>
  </property>
  <property fmtid="{D5CDD505-2E9C-101B-9397-08002B2CF9AE}" pid="16" name="_2015_ms_pID_7253432">
    <vt:lpwstr>EcMA7wR4/kiagJRcHjksDSvtZHV+fGx2Sa/q
Ypm9yNivWRdeK1FzDIPfPEupwlBEQw==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